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39" w:rsidRDefault="00287139" w:rsidP="00E66874">
      <w:pPr>
        <w:spacing w:after="0" w:line="240" w:lineRule="auto"/>
        <w:jc w:val="center"/>
        <w:rPr>
          <w:b/>
          <w:sz w:val="24"/>
          <w:szCs w:val="24"/>
        </w:rPr>
      </w:pPr>
      <w:r w:rsidRPr="00287139">
        <w:rPr>
          <w:b/>
          <w:noProof/>
          <w:sz w:val="24"/>
          <w:szCs w:val="24"/>
        </w:rPr>
        <w:drawing>
          <wp:anchor distT="0" distB="0" distL="114300" distR="114300" simplePos="0" relativeHeight="251659264" behindDoc="0" locked="0" layoutInCell="1" allowOverlap="1">
            <wp:simplePos x="0" y="0"/>
            <wp:positionH relativeFrom="margin">
              <wp:posOffset>1104900</wp:posOffset>
            </wp:positionH>
            <wp:positionV relativeFrom="margin">
              <wp:posOffset>-133350</wp:posOffset>
            </wp:positionV>
            <wp:extent cx="3781425" cy="1057275"/>
            <wp:effectExtent l="19050" t="0" r="9525"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81425" cy="1057275"/>
                    </a:xfrm>
                    <a:prstGeom prst="rect">
                      <a:avLst/>
                    </a:prstGeom>
                    <a:noFill/>
                    <a:ln w="9525">
                      <a:noFill/>
                      <a:miter lim="800000"/>
                      <a:headEnd/>
                      <a:tailEnd/>
                    </a:ln>
                  </pic:spPr>
                </pic:pic>
              </a:graphicData>
            </a:graphic>
          </wp:anchor>
        </w:drawing>
      </w:r>
    </w:p>
    <w:p w:rsidR="00287139" w:rsidRDefault="00287139" w:rsidP="00E66874">
      <w:pPr>
        <w:spacing w:after="0" w:line="240" w:lineRule="auto"/>
        <w:jc w:val="center"/>
        <w:rPr>
          <w:b/>
          <w:sz w:val="24"/>
          <w:szCs w:val="24"/>
        </w:rPr>
      </w:pPr>
    </w:p>
    <w:p w:rsidR="00287139" w:rsidRDefault="00287139" w:rsidP="00E66874">
      <w:pPr>
        <w:spacing w:after="0" w:line="240" w:lineRule="auto"/>
        <w:jc w:val="center"/>
        <w:rPr>
          <w:b/>
          <w:sz w:val="24"/>
          <w:szCs w:val="24"/>
        </w:rPr>
      </w:pPr>
    </w:p>
    <w:p w:rsidR="00DB2FF7" w:rsidRDefault="00DB2FF7" w:rsidP="0057381B">
      <w:pPr>
        <w:spacing w:after="0" w:line="240" w:lineRule="auto"/>
        <w:jc w:val="center"/>
        <w:rPr>
          <w:b/>
          <w:color w:val="365F91" w:themeColor="accent1" w:themeShade="BF"/>
          <w:sz w:val="32"/>
          <w:szCs w:val="32"/>
        </w:rPr>
      </w:pPr>
    </w:p>
    <w:p w:rsidR="00DB2FF7" w:rsidRDefault="00DB2FF7" w:rsidP="0057381B">
      <w:pPr>
        <w:spacing w:after="0" w:line="240" w:lineRule="auto"/>
        <w:jc w:val="center"/>
        <w:rPr>
          <w:b/>
          <w:color w:val="365F91" w:themeColor="accent1" w:themeShade="BF"/>
          <w:sz w:val="32"/>
          <w:szCs w:val="32"/>
        </w:rPr>
      </w:pPr>
    </w:p>
    <w:p w:rsidR="00DB2FF7" w:rsidRDefault="00282298" w:rsidP="00DB2FF7">
      <w:pPr>
        <w:spacing w:after="0" w:line="240" w:lineRule="auto"/>
        <w:jc w:val="center"/>
        <w:rPr>
          <w:b/>
          <w:color w:val="365F91" w:themeColor="accent1" w:themeShade="BF"/>
          <w:sz w:val="32"/>
          <w:szCs w:val="32"/>
        </w:rPr>
      </w:pPr>
      <w:r w:rsidRPr="00DB2FF7">
        <w:rPr>
          <w:b/>
          <w:color w:val="365F91" w:themeColor="accent1" w:themeShade="BF"/>
          <w:sz w:val="32"/>
          <w:szCs w:val="32"/>
        </w:rPr>
        <w:t xml:space="preserve">Tapping Growth Potential in Climate Change </w:t>
      </w:r>
      <w:r w:rsidR="00DB2FF7">
        <w:rPr>
          <w:b/>
          <w:color w:val="365F91" w:themeColor="accent1" w:themeShade="BF"/>
          <w:sz w:val="32"/>
          <w:szCs w:val="32"/>
        </w:rPr>
        <w:t>t</w:t>
      </w:r>
      <w:r w:rsidRPr="00DB2FF7">
        <w:rPr>
          <w:b/>
          <w:color w:val="365F91" w:themeColor="accent1" w:themeShade="BF"/>
          <w:sz w:val="32"/>
          <w:szCs w:val="32"/>
        </w:rPr>
        <w:t xml:space="preserve">hrough </w:t>
      </w:r>
    </w:p>
    <w:p w:rsidR="00282298" w:rsidRPr="00DB2FF7" w:rsidRDefault="00282298" w:rsidP="00DB2FF7">
      <w:pPr>
        <w:spacing w:after="0" w:line="240" w:lineRule="auto"/>
        <w:jc w:val="center"/>
        <w:rPr>
          <w:b/>
          <w:color w:val="365F91" w:themeColor="accent1" w:themeShade="BF"/>
          <w:sz w:val="32"/>
          <w:szCs w:val="32"/>
        </w:rPr>
      </w:pPr>
      <w:r w:rsidRPr="00DB2FF7">
        <w:rPr>
          <w:b/>
          <w:color w:val="365F91" w:themeColor="accent1" w:themeShade="BF"/>
          <w:sz w:val="32"/>
          <w:szCs w:val="32"/>
        </w:rPr>
        <w:t>Innovative Partnerships</w:t>
      </w:r>
    </w:p>
    <w:p w:rsidR="00287139" w:rsidRPr="00DB2FF7" w:rsidRDefault="00287139" w:rsidP="0057381B">
      <w:pPr>
        <w:spacing w:after="0" w:line="240" w:lineRule="auto"/>
        <w:jc w:val="center"/>
        <w:rPr>
          <w:b/>
          <w:color w:val="365F91" w:themeColor="accent1" w:themeShade="BF"/>
          <w:sz w:val="24"/>
          <w:szCs w:val="24"/>
        </w:rPr>
      </w:pPr>
    </w:p>
    <w:p w:rsidR="00287139" w:rsidRPr="00DB2FF7" w:rsidRDefault="00287139" w:rsidP="00DB2FF7">
      <w:pPr>
        <w:spacing w:after="0" w:line="240" w:lineRule="auto"/>
        <w:jc w:val="center"/>
        <w:rPr>
          <w:b/>
          <w:color w:val="365F91" w:themeColor="accent1" w:themeShade="BF"/>
          <w:sz w:val="24"/>
          <w:szCs w:val="24"/>
        </w:rPr>
      </w:pPr>
      <w:r w:rsidRPr="00DB2FF7">
        <w:rPr>
          <w:b/>
          <w:color w:val="365F91" w:themeColor="accent1" w:themeShade="BF"/>
          <w:sz w:val="24"/>
          <w:szCs w:val="24"/>
        </w:rPr>
        <w:t>Jun</w:t>
      </w:r>
      <w:r w:rsidR="00DB2FF7" w:rsidRPr="00DB2FF7">
        <w:rPr>
          <w:b/>
          <w:color w:val="365F91" w:themeColor="accent1" w:themeShade="BF"/>
          <w:sz w:val="24"/>
          <w:szCs w:val="24"/>
        </w:rPr>
        <w:t>e 24, 2011; 3:00</w:t>
      </w:r>
      <w:r w:rsidR="006533B7" w:rsidRPr="00DB2FF7">
        <w:rPr>
          <w:b/>
          <w:color w:val="365F91" w:themeColor="accent1" w:themeShade="BF"/>
          <w:sz w:val="24"/>
          <w:szCs w:val="24"/>
        </w:rPr>
        <w:t>-</w:t>
      </w:r>
      <w:r w:rsidR="00DB2FF7" w:rsidRPr="00DB2FF7">
        <w:rPr>
          <w:b/>
          <w:color w:val="365F91" w:themeColor="accent1" w:themeShade="BF"/>
          <w:sz w:val="24"/>
          <w:szCs w:val="24"/>
        </w:rPr>
        <w:t>6:0</w:t>
      </w:r>
      <w:r w:rsidR="00DB2FF7">
        <w:rPr>
          <w:b/>
          <w:color w:val="365F91" w:themeColor="accent1" w:themeShade="BF"/>
          <w:sz w:val="24"/>
          <w:szCs w:val="24"/>
        </w:rPr>
        <w:t>0</w:t>
      </w:r>
      <w:r w:rsidR="006533B7" w:rsidRPr="00DB2FF7">
        <w:rPr>
          <w:b/>
          <w:color w:val="365F91" w:themeColor="accent1" w:themeShade="BF"/>
          <w:sz w:val="24"/>
          <w:szCs w:val="24"/>
        </w:rPr>
        <w:t>pm</w:t>
      </w:r>
    </w:p>
    <w:p w:rsidR="00DB2FF7" w:rsidRDefault="00DB2FF7" w:rsidP="00DB2FF7">
      <w:pPr>
        <w:spacing w:after="0" w:line="240" w:lineRule="auto"/>
        <w:jc w:val="center"/>
        <w:rPr>
          <w:rFonts w:ascii="Calibri" w:eastAsia="Calibri" w:hAnsi="Calibri"/>
          <w:b/>
          <w:color w:val="365F91" w:themeColor="accent1" w:themeShade="BF"/>
          <w:sz w:val="24"/>
          <w:szCs w:val="24"/>
        </w:rPr>
      </w:pPr>
    </w:p>
    <w:p w:rsidR="0057381B" w:rsidRPr="00DB2FF7" w:rsidRDefault="00287139" w:rsidP="00DB2FF7">
      <w:pPr>
        <w:spacing w:after="0" w:line="240" w:lineRule="auto"/>
        <w:jc w:val="center"/>
        <w:rPr>
          <w:b/>
          <w:color w:val="365F91" w:themeColor="accent1" w:themeShade="BF"/>
          <w:sz w:val="24"/>
          <w:szCs w:val="24"/>
        </w:rPr>
      </w:pPr>
      <w:r w:rsidRPr="00DB2FF7">
        <w:rPr>
          <w:rFonts w:ascii="Calibri" w:eastAsia="Calibri" w:hAnsi="Calibri"/>
          <w:b/>
          <w:color w:val="365F91" w:themeColor="accent1" w:themeShade="BF"/>
          <w:sz w:val="24"/>
          <w:szCs w:val="24"/>
        </w:rPr>
        <w:t>A G E N D A</w:t>
      </w:r>
      <w:r w:rsidRPr="00DB2FF7">
        <w:rPr>
          <w:b/>
          <w:color w:val="365F91" w:themeColor="accent1" w:themeShade="BF"/>
          <w:sz w:val="24"/>
          <w:szCs w:val="24"/>
        </w:rPr>
        <w:t xml:space="preserve"> </w:t>
      </w:r>
    </w:p>
    <w:p w:rsidR="00FD3041" w:rsidRPr="00DB2FF7" w:rsidRDefault="00FD3041" w:rsidP="00DB2FF7">
      <w:pPr>
        <w:spacing w:after="0" w:line="240" w:lineRule="auto"/>
        <w:jc w:val="center"/>
        <w:rPr>
          <w:b/>
          <w:color w:val="365F91" w:themeColor="accent1" w:themeShade="BF"/>
          <w:sz w:val="24"/>
          <w:szCs w:val="24"/>
        </w:rPr>
      </w:pPr>
    </w:p>
    <w:p w:rsidR="00287139" w:rsidRPr="00DB2FF7" w:rsidRDefault="00DB2FF7" w:rsidP="00DB2FF7">
      <w:pPr>
        <w:spacing w:after="0" w:line="240" w:lineRule="auto"/>
        <w:rPr>
          <w:b/>
          <w:color w:val="365F91" w:themeColor="accent1" w:themeShade="BF"/>
        </w:rPr>
      </w:pPr>
      <w:r>
        <w:rPr>
          <w:b/>
          <w:color w:val="365F91" w:themeColor="accent1" w:themeShade="BF"/>
        </w:rPr>
        <w:t>3:00</w:t>
      </w:r>
      <w:r w:rsidR="00287139" w:rsidRPr="00DB2FF7">
        <w:rPr>
          <w:b/>
          <w:color w:val="365F91" w:themeColor="accent1" w:themeShade="BF"/>
        </w:rPr>
        <w:t>-</w:t>
      </w:r>
      <w:r>
        <w:rPr>
          <w:b/>
          <w:color w:val="365F91" w:themeColor="accent1" w:themeShade="BF"/>
        </w:rPr>
        <w:t>3</w:t>
      </w:r>
      <w:r w:rsidR="00287139" w:rsidRPr="00DB2FF7">
        <w:rPr>
          <w:b/>
          <w:color w:val="365F91" w:themeColor="accent1" w:themeShade="BF"/>
        </w:rPr>
        <w:t>:</w:t>
      </w:r>
      <w:r>
        <w:rPr>
          <w:b/>
          <w:color w:val="365F91" w:themeColor="accent1" w:themeShade="BF"/>
        </w:rPr>
        <w:t>1</w:t>
      </w:r>
      <w:r w:rsidR="00E1055F" w:rsidRPr="00DB2FF7">
        <w:rPr>
          <w:b/>
          <w:color w:val="365F91" w:themeColor="accent1" w:themeShade="BF"/>
        </w:rPr>
        <w:t>0</w:t>
      </w:r>
      <w:r w:rsidR="00287139" w:rsidRPr="00DB2FF7">
        <w:rPr>
          <w:b/>
          <w:color w:val="365F91" w:themeColor="accent1" w:themeShade="BF"/>
        </w:rPr>
        <w:t>pm: Introduction</w:t>
      </w:r>
      <w:r w:rsidR="00E1055F" w:rsidRPr="00DB2FF7">
        <w:rPr>
          <w:b/>
          <w:color w:val="365F91" w:themeColor="accent1" w:themeShade="BF"/>
        </w:rPr>
        <w:t xml:space="preserve"> </w:t>
      </w:r>
    </w:p>
    <w:p w:rsidR="007A710C" w:rsidRDefault="00287139" w:rsidP="00DB2FF7">
      <w:pPr>
        <w:spacing w:after="0" w:line="240" w:lineRule="auto"/>
      </w:pPr>
      <w:r w:rsidRPr="00DB2FF7">
        <w:t xml:space="preserve">The </w:t>
      </w:r>
      <w:r w:rsidR="00DB2FF7">
        <w:t>m</w:t>
      </w:r>
      <w:r w:rsidR="007A710C" w:rsidRPr="00DB2FF7">
        <w:t>oderator</w:t>
      </w:r>
      <w:r w:rsidR="00436FC4" w:rsidRPr="00E1055F">
        <w:t>,</w:t>
      </w:r>
      <w:r w:rsidR="00436FC4">
        <w:t xml:space="preserve"> </w:t>
      </w:r>
      <w:r w:rsidR="00436FC4" w:rsidRPr="00436FC4">
        <w:rPr>
          <w:b/>
          <w:i/>
        </w:rPr>
        <w:t>Jamal</w:t>
      </w:r>
      <w:r w:rsidR="001435DE" w:rsidRPr="00436FC4">
        <w:rPr>
          <w:b/>
          <w:i/>
        </w:rPr>
        <w:t xml:space="preserve"> </w:t>
      </w:r>
      <w:proofErr w:type="spellStart"/>
      <w:r w:rsidR="001435DE" w:rsidRPr="001435DE">
        <w:rPr>
          <w:b/>
          <w:i/>
        </w:rPr>
        <w:t>Saghir</w:t>
      </w:r>
      <w:proofErr w:type="spellEnd"/>
      <w:r w:rsidR="001435DE">
        <w:rPr>
          <w:i/>
        </w:rPr>
        <w:t>, Director, Africa Sustainability Development, World Bank,</w:t>
      </w:r>
      <w:r w:rsidR="00C753D6">
        <w:rPr>
          <w:i/>
        </w:rPr>
        <w:t xml:space="preserve"> </w:t>
      </w:r>
      <w:r w:rsidR="00DB2FF7">
        <w:t>will introduce the session</w:t>
      </w:r>
      <w:r>
        <w:t>, its objectives, and the panelists.</w:t>
      </w:r>
    </w:p>
    <w:p w:rsidR="00E1055F" w:rsidRDefault="00E1055F" w:rsidP="00DB2FF7">
      <w:pPr>
        <w:spacing w:after="0" w:line="240" w:lineRule="auto"/>
      </w:pPr>
    </w:p>
    <w:p w:rsidR="00FD3041" w:rsidRPr="00BF587F" w:rsidRDefault="00BF587F" w:rsidP="00DB2FF7">
      <w:pPr>
        <w:spacing w:after="0" w:line="240" w:lineRule="auto"/>
        <w:rPr>
          <w:rFonts w:ascii="Calibri" w:eastAsia="Calibri" w:hAnsi="Calibri" w:cs="Times New Roman"/>
          <w:b/>
          <w:i/>
          <w:color w:val="365F91"/>
        </w:rPr>
      </w:pPr>
      <w:r w:rsidRPr="00BF587F">
        <w:rPr>
          <w:rFonts w:ascii="Calibri" w:eastAsia="Calibri" w:hAnsi="Calibri" w:cs="Times New Roman"/>
          <w:b/>
          <w:i/>
          <w:color w:val="365F91"/>
        </w:rPr>
        <w:t xml:space="preserve">Panelists: </w:t>
      </w:r>
    </w:p>
    <w:p w:rsidR="00FD5FFB" w:rsidRPr="00BF587F" w:rsidRDefault="001078A5" w:rsidP="00BF587F">
      <w:pPr>
        <w:pStyle w:val="ListParagraph"/>
        <w:numPr>
          <w:ilvl w:val="0"/>
          <w:numId w:val="12"/>
        </w:numPr>
        <w:spacing w:after="0" w:line="240" w:lineRule="auto"/>
        <w:rPr>
          <w:i/>
        </w:rPr>
      </w:pPr>
      <w:r w:rsidRPr="00BF587F">
        <w:rPr>
          <w:b/>
          <w:bCs/>
          <w:i/>
        </w:rPr>
        <w:t>Christopher Clarke</w:t>
      </w:r>
      <w:r w:rsidR="00FD5FFB" w:rsidRPr="00BF587F">
        <w:rPr>
          <w:bCs/>
          <w:i/>
        </w:rPr>
        <w:t>,</w:t>
      </w:r>
      <w:r w:rsidR="00FD5FFB" w:rsidRPr="00BF587F">
        <w:rPr>
          <w:i/>
        </w:rPr>
        <w:t xml:space="preserve"> Managing Director, </w:t>
      </w:r>
      <w:r w:rsidR="00FD5FFB" w:rsidRPr="00BF587F">
        <w:rPr>
          <w:bCs/>
          <w:i/>
        </w:rPr>
        <w:t>Evolution</w:t>
      </w:r>
      <w:r w:rsidR="00FD5FFB" w:rsidRPr="00BF587F">
        <w:rPr>
          <w:i/>
        </w:rPr>
        <w:t xml:space="preserve"> One </w:t>
      </w:r>
      <w:proofErr w:type="spellStart"/>
      <w:r w:rsidR="00FD5FFB" w:rsidRPr="00BF587F">
        <w:rPr>
          <w:i/>
        </w:rPr>
        <w:t>Cleantech</w:t>
      </w:r>
      <w:proofErr w:type="spellEnd"/>
      <w:r w:rsidR="00FD5FFB" w:rsidRPr="00BF587F">
        <w:rPr>
          <w:i/>
        </w:rPr>
        <w:t xml:space="preserve"> Fund</w:t>
      </w:r>
      <w:r w:rsidR="00BF587F">
        <w:rPr>
          <w:i/>
        </w:rPr>
        <w:t xml:space="preserve">, </w:t>
      </w:r>
      <w:r w:rsidR="00FD5FFB" w:rsidRPr="00BF587F">
        <w:rPr>
          <w:i/>
        </w:rPr>
        <w:t>South Africa</w:t>
      </w:r>
    </w:p>
    <w:p w:rsidR="00A543D3" w:rsidRPr="00BF587F" w:rsidRDefault="00B937D1" w:rsidP="00BF587F">
      <w:pPr>
        <w:pStyle w:val="ListParagraph"/>
        <w:numPr>
          <w:ilvl w:val="0"/>
          <w:numId w:val="12"/>
        </w:numPr>
        <w:spacing w:after="0" w:line="240" w:lineRule="auto"/>
        <w:rPr>
          <w:i/>
        </w:rPr>
      </w:pPr>
      <w:proofErr w:type="spellStart"/>
      <w:r w:rsidRPr="00BF587F">
        <w:rPr>
          <w:b/>
          <w:i/>
        </w:rPr>
        <w:t>Davin</w:t>
      </w:r>
      <w:proofErr w:type="spellEnd"/>
      <w:r w:rsidRPr="00BF587F">
        <w:rPr>
          <w:b/>
          <w:i/>
        </w:rPr>
        <w:t xml:space="preserve"> </w:t>
      </w:r>
      <w:proofErr w:type="spellStart"/>
      <w:r w:rsidRPr="00BF587F">
        <w:rPr>
          <w:b/>
          <w:i/>
        </w:rPr>
        <w:t>Chown</w:t>
      </w:r>
      <w:proofErr w:type="spellEnd"/>
      <w:r w:rsidRPr="00BF587F">
        <w:rPr>
          <w:i/>
        </w:rPr>
        <w:t xml:space="preserve">, </w:t>
      </w:r>
      <w:r w:rsidR="00DE6887" w:rsidRPr="00BF587F">
        <w:rPr>
          <w:i/>
        </w:rPr>
        <w:t xml:space="preserve">Director, </w:t>
      </w:r>
      <w:r w:rsidR="00BF587F">
        <w:rPr>
          <w:i/>
        </w:rPr>
        <w:t xml:space="preserve">Genesis Eco-Energy, </w:t>
      </w:r>
      <w:r w:rsidR="00663098" w:rsidRPr="00BF587F">
        <w:rPr>
          <w:i/>
        </w:rPr>
        <w:t>South Africa</w:t>
      </w:r>
      <w:r w:rsidRPr="00BF587F">
        <w:rPr>
          <w:i/>
        </w:rPr>
        <w:t xml:space="preserve"> </w:t>
      </w:r>
    </w:p>
    <w:p w:rsidR="00111FD0" w:rsidRPr="00BF587F" w:rsidRDefault="00E638EB" w:rsidP="00BF587F">
      <w:pPr>
        <w:pStyle w:val="ListParagraph"/>
        <w:numPr>
          <w:ilvl w:val="0"/>
          <w:numId w:val="12"/>
        </w:numPr>
        <w:spacing w:after="0" w:line="240" w:lineRule="auto"/>
        <w:rPr>
          <w:i/>
        </w:rPr>
      </w:pPr>
      <w:proofErr w:type="spellStart"/>
      <w:r w:rsidRPr="00BF587F">
        <w:rPr>
          <w:b/>
          <w:i/>
        </w:rPr>
        <w:t>Dayae</w:t>
      </w:r>
      <w:proofErr w:type="spellEnd"/>
      <w:r w:rsidRPr="00BF587F">
        <w:rPr>
          <w:b/>
          <w:i/>
        </w:rPr>
        <w:t xml:space="preserve"> </w:t>
      </w:r>
      <w:proofErr w:type="spellStart"/>
      <w:r w:rsidRPr="00BF587F">
        <w:rPr>
          <w:b/>
          <w:i/>
        </w:rPr>
        <w:t>Oudghiri</w:t>
      </w:r>
      <w:proofErr w:type="spellEnd"/>
      <w:r w:rsidR="00DE6887" w:rsidRPr="00BF587F">
        <w:rPr>
          <w:i/>
        </w:rPr>
        <w:t xml:space="preserve">, </w:t>
      </w:r>
      <w:r w:rsidR="006A54BA" w:rsidRPr="00BF587F">
        <w:rPr>
          <w:i/>
        </w:rPr>
        <w:t>Advisor to President</w:t>
      </w:r>
      <w:r w:rsidR="00DE6887" w:rsidRPr="00BF587F">
        <w:rPr>
          <w:i/>
        </w:rPr>
        <w:t xml:space="preserve">, </w:t>
      </w:r>
      <w:r w:rsidRPr="00BF587F">
        <w:rPr>
          <w:i/>
        </w:rPr>
        <w:t>Moroccan Agency for Solar Energy (</w:t>
      </w:r>
      <w:r w:rsidR="000E2765" w:rsidRPr="00BF587F">
        <w:rPr>
          <w:i/>
        </w:rPr>
        <w:t>M</w:t>
      </w:r>
      <w:r w:rsidRPr="00BF587F">
        <w:rPr>
          <w:i/>
        </w:rPr>
        <w:t>ASEN)</w:t>
      </w:r>
      <w:r w:rsidR="00BF587F">
        <w:rPr>
          <w:i/>
        </w:rPr>
        <w:t>, Morocco</w:t>
      </w:r>
      <w:r w:rsidR="00DE6887" w:rsidRPr="00BF587F">
        <w:rPr>
          <w:i/>
        </w:rPr>
        <w:t xml:space="preserve"> </w:t>
      </w:r>
    </w:p>
    <w:p w:rsidR="0034576F" w:rsidRPr="008714AB" w:rsidRDefault="006B182E" w:rsidP="008714AB">
      <w:pPr>
        <w:pStyle w:val="ListParagraph"/>
        <w:numPr>
          <w:ilvl w:val="0"/>
          <w:numId w:val="12"/>
        </w:numPr>
        <w:spacing w:after="0" w:line="240" w:lineRule="auto"/>
        <w:rPr>
          <w:i/>
        </w:rPr>
      </w:pPr>
      <w:r w:rsidRPr="00D95B18">
        <w:rPr>
          <w:b/>
          <w:i/>
        </w:rPr>
        <w:t xml:space="preserve"> Jose Salazar</w:t>
      </w:r>
      <w:r w:rsidR="001435DE">
        <w:rPr>
          <w:b/>
          <w:i/>
        </w:rPr>
        <w:t xml:space="preserve"> </w:t>
      </w:r>
      <w:proofErr w:type="spellStart"/>
      <w:r w:rsidR="001435DE">
        <w:rPr>
          <w:b/>
          <w:i/>
        </w:rPr>
        <w:t>Barrantes</w:t>
      </w:r>
      <w:proofErr w:type="spellEnd"/>
      <w:r w:rsidRPr="006B182E">
        <w:rPr>
          <w:b/>
        </w:rPr>
        <w:t xml:space="preserve">, </w:t>
      </w:r>
      <w:proofErr w:type="spellStart"/>
      <w:r w:rsidRPr="001435DE">
        <w:rPr>
          <w:rFonts w:cs="Arial"/>
          <w:i/>
          <w:color w:val="000000"/>
        </w:rPr>
        <w:t>Presidente</w:t>
      </w:r>
      <w:proofErr w:type="spellEnd"/>
      <w:r w:rsidRPr="001435DE">
        <w:rPr>
          <w:rFonts w:cs="Arial"/>
          <w:i/>
          <w:color w:val="000000"/>
        </w:rPr>
        <w:t xml:space="preserve"> del </w:t>
      </w:r>
      <w:proofErr w:type="spellStart"/>
      <w:r w:rsidRPr="001435DE">
        <w:rPr>
          <w:rFonts w:cs="Arial"/>
          <w:i/>
          <w:color w:val="000000"/>
        </w:rPr>
        <w:t>Consejo</w:t>
      </w:r>
      <w:proofErr w:type="spellEnd"/>
      <w:r w:rsidRPr="001435DE">
        <w:rPr>
          <w:rFonts w:cs="Arial"/>
          <w:i/>
          <w:color w:val="000000"/>
        </w:rPr>
        <w:t xml:space="preserve"> </w:t>
      </w:r>
      <w:proofErr w:type="spellStart"/>
      <w:r w:rsidRPr="001435DE">
        <w:rPr>
          <w:rFonts w:cs="Arial"/>
          <w:i/>
          <w:color w:val="000000"/>
        </w:rPr>
        <w:t>Directivo</w:t>
      </w:r>
      <w:proofErr w:type="spellEnd"/>
      <w:r w:rsidRPr="001435DE">
        <w:rPr>
          <w:rFonts w:cs="Arial"/>
          <w:i/>
          <w:color w:val="000000"/>
        </w:rPr>
        <w:t xml:space="preserve"> de SUNASS,</w:t>
      </w:r>
      <w:r w:rsidRPr="001435DE">
        <w:rPr>
          <w:i/>
        </w:rPr>
        <w:t xml:space="preserve"> Peru</w:t>
      </w:r>
    </w:p>
    <w:p w:rsidR="005E1C88" w:rsidRPr="00BF587F" w:rsidRDefault="005E1C88" w:rsidP="00DB2FF7">
      <w:pPr>
        <w:spacing w:after="0" w:line="240" w:lineRule="auto"/>
        <w:rPr>
          <w:color w:val="4F81BD" w:themeColor="accent1"/>
        </w:rPr>
      </w:pPr>
    </w:p>
    <w:p w:rsidR="00BF587F" w:rsidRPr="00DB2FF7" w:rsidRDefault="00BF587F" w:rsidP="00BF587F">
      <w:pPr>
        <w:spacing w:after="0" w:line="240" w:lineRule="auto"/>
        <w:rPr>
          <w:b/>
          <w:color w:val="365F91" w:themeColor="accent1" w:themeShade="BF"/>
        </w:rPr>
      </w:pPr>
      <w:r w:rsidRPr="00DB2FF7">
        <w:rPr>
          <w:b/>
          <w:color w:val="365F91" w:themeColor="accent1" w:themeShade="BF"/>
        </w:rPr>
        <w:t>3:10-4:30pm: Panel presentations</w:t>
      </w:r>
    </w:p>
    <w:p w:rsidR="004A134D" w:rsidRDefault="004A134D" w:rsidP="00BF587F">
      <w:pPr>
        <w:spacing w:after="0" w:line="240" w:lineRule="auto"/>
      </w:pPr>
      <w:r>
        <w:t xml:space="preserve">The panel will be </w:t>
      </w:r>
      <w:r w:rsidRPr="0043270D">
        <w:t xml:space="preserve">invited to </w:t>
      </w:r>
      <w:r>
        <w:t>discuss</w:t>
      </w:r>
      <w:r w:rsidR="00BF587F">
        <w:t xml:space="preserve"> the following key topics</w:t>
      </w:r>
      <w:r>
        <w:t>:</w:t>
      </w:r>
    </w:p>
    <w:p w:rsidR="004A134D" w:rsidRDefault="004A134D" w:rsidP="00BF587F">
      <w:pPr>
        <w:pStyle w:val="ListParagraph"/>
        <w:numPr>
          <w:ilvl w:val="0"/>
          <w:numId w:val="11"/>
        </w:numPr>
        <w:spacing w:after="0" w:line="240" w:lineRule="auto"/>
      </w:pPr>
      <w:r>
        <w:t>F</w:t>
      </w:r>
      <w:r w:rsidRPr="00A60545">
        <w:t>inancing</w:t>
      </w:r>
      <w:r>
        <w:t xml:space="preserve"> models that PPP offer </w:t>
      </w:r>
      <w:r w:rsidRPr="00A60545">
        <w:t>to support strategically important, but otherwise not financially viable projects</w:t>
      </w:r>
      <w:r>
        <w:t xml:space="preserve">, such as </w:t>
      </w:r>
      <w:r w:rsidRPr="00A60545">
        <w:t xml:space="preserve">renewable energy, </w:t>
      </w:r>
      <w:r>
        <w:t xml:space="preserve">transport, </w:t>
      </w:r>
      <w:r w:rsidRPr="00A60545">
        <w:t>sanitation</w:t>
      </w:r>
      <w:r>
        <w:t xml:space="preserve">, or waste management </w:t>
      </w:r>
      <w:r w:rsidRPr="00A60545">
        <w:t>through grants, concessional finance, patient equity</w:t>
      </w:r>
      <w:r>
        <w:t>,</w:t>
      </w:r>
      <w:r w:rsidRPr="00A60545">
        <w:t xml:space="preserve"> etc.</w:t>
      </w:r>
      <w:r>
        <w:t xml:space="preserve"> </w:t>
      </w:r>
    </w:p>
    <w:p w:rsidR="004A134D" w:rsidRDefault="00571487" w:rsidP="00BF587F">
      <w:pPr>
        <w:pStyle w:val="ListParagraph"/>
        <w:numPr>
          <w:ilvl w:val="0"/>
          <w:numId w:val="11"/>
        </w:numPr>
        <w:spacing w:after="0" w:line="240" w:lineRule="auto"/>
      </w:pPr>
      <w:r>
        <w:t>The effectiveness of products</w:t>
      </w:r>
      <w:r w:rsidR="004A134D" w:rsidRPr="00A21B57">
        <w:t xml:space="preserve"> like </w:t>
      </w:r>
      <w:r w:rsidR="004A134D">
        <w:t>guarantees, mezzanine,</w:t>
      </w:r>
      <w:r w:rsidR="004A134D" w:rsidRPr="00A21B57">
        <w:t xml:space="preserve"> debt, underwriting bond issuances, syndication, </w:t>
      </w:r>
      <w:r>
        <w:t xml:space="preserve">in responding to PPP market needs adequately and addressing </w:t>
      </w:r>
      <w:r w:rsidR="004A134D">
        <w:t>the specific needs of mitig</w:t>
      </w:r>
      <w:r>
        <w:t>ation and adaptation projects.</w:t>
      </w:r>
    </w:p>
    <w:p w:rsidR="004A134D" w:rsidRDefault="004A134D" w:rsidP="00BF587F">
      <w:pPr>
        <w:pStyle w:val="ListParagraph"/>
        <w:numPr>
          <w:ilvl w:val="0"/>
          <w:numId w:val="11"/>
        </w:numPr>
        <w:spacing w:after="0" w:line="240" w:lineRule="auto"/>
      </w:pPr>
      <w:r w:rsidRPr="000F7B39">
        <w:t>Challenges facing Public Private Partnerships such as creating ultimate PPP structures to ensure best value for money, building public sector capacity to manage PPP programs, deal flow, and exit options to stimulate PPP market.</w:t>
      </w:r>
    </w:p>
    <w:p w:rsidR="00571487" w:rsidRDefault="00571487" w:rsidP="00BF587F">
      <w:pPr>
        <w:pStyle w:val="ListParagraph"/>
        <w:numPr>
          <w:ilvl w:val="0"/>
          <w:numId w:val="11"/>
        </w:numPr>
        <w:spacing w:after="0" w:line="240" w:lineRule="auto"/>
      </w:pPr>
      <w:r>
        <w:t xml:space="preserve">The value proposition of PPP in mobilizing larger volumes of funds and facilitating risk sharing with the private sector. </w:t>
      </w:r>
    </w:p>
    <w:p w:rsidR="004A134D" w:rsidRDefault="004A134D" w:rsidP="00BF587F">
      <w:pPr>
        <w:pStyle w:val="ListParagraph"/>
        <w:numPr>
          <w:ilvl w:val="0"/>
          <w:numId w:val="11"/>
        </w:numPr>
        <w:spacing w:after="0" w:line="240" w:lineRule="auto"/>
      </w:pPr>
      <w:r>
        <w:t>I</w:t>
      </w:r>
      <w:r w:rsidRPr="0079370D">
        <w:t xml:space="preserve">nnovative models </w:t>
      </w:r>
      <w:r>
        <w:t>of</w:t>
      </w:r>
      <w:r w:rsidRPr="0079370D">
        <w:t xml:space="preserve"> public private partnerships in sectors and industries relevant to climate change mitigation and adaption.</w:t>
      </w:r>
    </w:p>
    <w:p w:rsidR="004A134D" w:rsidRDefault="004A134D" w:rsidP="00BF587F">
      <w:pPr>
        <w:pStyle w:val="ListParagraph"/>
        <w:numPr>
          <w:ilvl w:val="0"/>
          <w:numId w:val="11"/>
        </w:numPr>
        <w:spacing w:after="0" w:line="240" w:lineRule="auto"/>
      </w:pPr>
      <w:r>
        <w:t xml:space="preserve">The development benefits of PPP in terms of jobs creation, access to clean water, energy, and infrastructure.  </w:t>
      </w:r>
    </w:p>
    <w:p w:rsidR="004A134D" w:rsidRDefault="004A134D" w:rsidP="00DB2FF7">
      <w:pPr>
        <w:spacing w:after="0" w:line="240" w:lineRule="auto"/>
        <w:rPr>
          <w:b/>
        </w:rPr>
      </w:pPr>
    </w:p>
    <w:p w:rsidR="004A134D" w:rsidRPr="00BF587F" w:rsidRDefault="0022083C" w:rsidP="00DB2FF7">
      <w:pPr>
        <w:spacing w:after="0" w:line="240" w:lineRule="auto"/>
        <w:rPr>
          <w:b/>
          <w:color w:val="365F91" w:themeColor="accent1" w:themeShade="BF"/>
        </w:rPr>
      </w:pPr>
      <w:r w:rsidRPr="00BF587F">
        <w:rPr>
          <w:b/>
          <w:color w:val="365F91" w:themeColor="accent1" w:themeShade="BF"/>
        </w:rPr>
        <w:t>4:</w:t>
      </w:r>
      <w:r w:rsidR="00BF587F" w:rsidRPr="00BF587F">
        <w:rPr>
          <w:b/>
          <w:color w:val="365F91" w:themeColor="accent1" w:themeShade="BF"/>
        </w:rPr>
        <w:t>30-6:00</w:t>
      </w:r>
      <w:r w:rsidRPr="00BF587F">
        <w:rPr>
          <w:b/>
          <w:color w:val="365F91" w:themeColor="accent1" w:themeShade="BF"/>
        </w:rPr>
        <w:t xml:space="preserve">pm: </w:t>
      </w:r>
      <w:r w:rsidR="00E1055F" w:rsidRPr="00BF587F">
        <w:rPr>
          <w:b/>
          <w:color w:val="365F91" w:themeColor="accent1" w:themeShade="BF"/>
        </w:rPr>
        <w:t xml:space="preserve">Questions </w:t>
      </w:r>
      <w:r w:rsidR="004A134D" w:rsidRPr="00BF587F">
        <w:rPr>
          <w:b/>
          <w:color w:val="365F91" w:themeColor="accent1" w:themeShade="BF"/>
        </w:rPr>
        <w:t xml:space="preserve">from </w:t>
      </w:r>
      <w:r w:rsidR="00E1055F" w:rsidRPr="00BF587F">
        <w:rPr>
          <w:b/>
          <w:color w:val="365F91" w:themeColor="accent1" w:themeShade="BF"/>
        </w:rPr>
        <w:t>the audience and dialogue with the panelists</w:t>
      </w:r>
    </w:p>
    <w:p w:rsidR="004A134D" w:rsidRPr="004A134D" w:rsidRDefault="004A134D" w:rsidP="00DB2FF7">
      <w:pPr>
        <w:spacing w:after="0" w:line="240" w:lineRule="auto"/>
      </w:pPr>
      <w:r w:rsidRPr="004A134D">
        <w:t xml:space="preserve">The moderator will invite the audience to ask questions </w:t>
      </w:r>
      <w:r w:rsidR="00BF587F">
        <w:t>for the panelists to respond to.</w:t>
      </w:r>
    </w:p>
    <w:p w:rsidR="00E1055F" w:rsidRDefault="00E1055F" w:rsidP="00DB2FF7">
      <w:pPr>
        <w:spacing w:after="0" w:line="240" w:lineRule="auto"/>
        <w:rPr>
          <w:b/>
        </w:rPr>
      </w:pPr>
    </w:p>
    <w:p w:rsidR="00F670E5" w:rsidRDefault="00F670E5" w:rsidP="00DB2FF7">
      <w:pPr>
        <w:spacing w:after="0" w:line="240" w:lineRule="auto"/>
      </w:pPr>
    </w:p>
    <w:p w:rsidR="00BF587F" w:rsidRDefault="00BF587F" w:rsidP="00DB2FF7">
      <w:pPr>
        <w:spacing w:after="0" w:line="240" w:lineRule="auto"/>
      </w:pPr>
    </w:p>
    <w:p w:rsidR="00B3463D" w:rsidRDefault="00B3463D" w:rsidP="00DB2FF7">
      <w:pPr>
        <w:spacing w:after="0" w:line="240" w:lineRule="auto"/>
      </w:pPr>
    </w:p>
    <w:p w:rsidR="00BF587F" w:rsidRPr="00BF587F" w:rsidRDefault="00BF587F" w:rsidP="00BF587F">
      <w:pPr>
        <w:spacing w:after="0" w:line="240" w:lineRule="auto"/>
        <w:jc w:val="center"/>
        <w:rPr>
          <w:rFonts w:ascii="Arial" w:eastAsia="Times New Roman" w:hAnsi="Arial" w:cs="Times New Roman"/>
          <w:b/>
          <w:color w:val="365F91" w:themeColor="accent1" w:themeShade="BF"/>
          <w:szCs w:val="20"/>
        </w:rPr>
      </w:pPr>
      <w:r w:rsidRPr="00BF587F">
        <w:rPr>
          <w:rFonts w:ascii="Arial" w:eastAsia="Times New Roman" w:hAnsi="Arial" w:cs="Times New Roman"/>
          <w:b/>
          <w:color w:val="365F91" w:themeColor="accent1" w:themeShade="BF"/>
          <w:szCs w:val="20"/>
        </w:rPr>
        <w:t xml:space="preserve">S E S </w:t>
      </w:r>
      <w:proofErr w:type="spellStart"/>
      <w:r w:rsidRPr="00BF587F">
        <w:rPr>
          <w:rFonts w:ascii="Arial" w:eastAsia="Times New Roman" w:hAnsi="Arial" w:cs="Times New Roman"/>
          <w:b/>
          <w:color w:val="365F91" w:themeColor="accent1" w:themeShade="BF"/>
          <w:szCs w:val="20"/>
        </w:rPr>
        <w:t>S</w:t>
      </w:r>
      <w:proofErr w:type="spellEnd"/>
      <w:r w:rsidRPr="00BF587F">
        <w:rPr>
          <w:rFonts w:ascii="Arial" w:eastAsia="Times New Roman" w:hAnsi="Arial" w:cs="Times New Roman"/>
          <w:b/>
          <w:color w:val="365F91" w:themeColor="accent1" w:themeShade="BF"/>
          <w:szCs w:val="20"/>
        </w:rPr>
        <w:t xml:space="preserve"> I O N   B A C K G R O U N D</w:t>
      </w:r>
    </w:p>
    <w:p w:rsidR="00BF587F" w:rsidRPr="00BF587F" w:rsidRDefault="00BF587F" w:rsidP="00BF587F">
      <w:pPr>
        <w:spacing w:after="0" w:line="240" w:lineRule="auto"/>
        <w:jc w:val="center"/>
        <w:rPr>
          <w:rFonts w:ascii="Arial" w:eastAsia="Times New Roman" w:hAnsi="Arial" w:cs="Times New Roman"/>
          <w:b/>
          <w:color w:val="365F91" w:themeColor="accent1" w:themeShade="BF"/>
          <w:szCs w:val="20"/>
        </w:rPr>
      </w:pPr>
    </w:p>
    <w:p w:rsidR="00BF587F" w:rsidRPr="00BF587F" w:rsidRDefault="00BF587F" w:rsidP="00BF587F">
      <w:pPr>
        <w:spacing w:after="0" w:line="240" w:lineRule="auto"/>
        <w:ind w:left="1440" w:hanging="1440"/>
        <w:rPr>
          <w:rFonts w:eastAsia="Times New Roman" w:cs="Times New Roman"/>
          <w:b/>
          <w:color w:val="365F91" w:themeColor="accent1" w:themeShade="BF"/>
        </w:rPr>
      </w:pPr>
      <w:r w:rsidRPr="00BF587F">
        <w:rPr>
          <w:rFonts w:eastAsia="Times New Roman" w:cs="Times New Roman"/>
          <w:b/>
          <w:color w:val="365F91" w:themeColor="accent1" w:themeShade="BF"/>
        </w:rPr>
        <w:t>Objectives</w:t>
      </w:r>
      <w:r w:rsidRPr="00BF587F">
        <w:rPr>
          <w:rFonts w:eastAsia="Times New Roman" w:cs="Times New Roman"/>
          <w:b/>
          <w:color w:val="365F91" w:themeColor="accent1" w:themeShade="BF"/>
        </w:rPr>
        <w:tab/>
      </w:r>
    </w:p>
    <w:p w:rsidR="00E27E07" w:rsidRPr="00D40FC1" w:rsidRDefault="00E27E07" w:rsidP="00DB2FF7">
      <w:pPr>
        <w:tabs>
          <w:tab w:val="num" w:pos="720"/>
        </w:tabs>
        <w:spacing w:after="0" w:line="240" w:lineRule="auto"/>
      </w:pPr>
      <w:r>
        <w:rPr>
          <w:b/>
        </w:rPr>
        <w:t xml:space="preserve"> </w:t>
      </w:r>
      <w:r w:rsidRPr="007111BD">
        <w:t xml:space="preserve">The panel will explore </w:t>
      </w:r>
      <w:r w:rsidRPr="007A710C">
        <w:t xml:space="preserve">innovative business models to accelerate climate change action and funds deployment </w:t>
      </w:r>
      <w:r>
        <w:t>through</w:t>
      </w:r>
      <w:r w:rsidRPr="007A710C">
        <w:t xml:space="preserve"> Public Private Partnerships </w:t>
      </w:r>
      <w:r>
        <w:t>(PPP)</w:t>
      </w:r>
      <w:r w:rsidRPr="007A710C">
        <w:t>.</w:t>
      </w:r>
      <w:r>
        <w:t xml:space="preserve">  </w:t>
      </w:r>
      <w:r w:rsidRPr="00D40FC1">
        <w:t xml:space="preserve">Senior public officials and leaders from the private sector will share their perspective on what is needed to ensure continued private sector interest, and innovative models for climate change. </w:t>
      </w:r>
      <w:r>
        <w:t xml:space="preserve"> They </w:t>
      </w:r>
      <w:r w:rsidRPr="0060740A">
        <w:t>will discuss best practices from the most active PPP progr</w:t>
      </w:r>
      <w:r>
        <w:t>ams, and c</w:t>
      </w:r>
      <w:r w:rsidRPr="00D40FC1">
        <w:t>hallenges f</w:t>
      </w:r>
      <w:r>
        <w:t>acing</w:t>
      </w:r>
      <w:r w:rsidRPr="00D40FC1">
        <w:t xml:space="preserve"> PPP practitioners in addressing issues such as creating ultimate PPP structures to ensure best value for money, building public sector capacity to manage PPP programs, deal flow, and exit options to stimulate PPP market. </w:t>
      </w:r>
    </w:p>
    <w:p w:rsidR="00B364D6" w:rsidRDefault="00B364D6" w:rsidP="00DB2FF7">
      <w:pPr>
        <w:spacing w:after="0" w:line="240" w:lineRule="auto"/>
        <w:rPr>
          <w:b/>
          <w:color w:val="4F81BD" w:themeColor="accent1"/>
        </w:rPr>
      </w:pPr>
    </w:p>
    <w:p w:rsidR="00BF587F" w:rsidRDefault="00BF587F" w:rsidP="00BF587F">
      <w:pPr>
        <w:spacing w:after="0" w:line="240" w:lineRule="auto"/>
        <w:rPr>
          <w:b/>
          <w:color w:val="365F91" w:themeColor="accent1" w:themeShade="BF"/>
        </w:rPr>
      </w:pPr>
      <w:r>
        <w:rPr>
          <w:b/>
          <w:color w:val="365F91" w:themeColor="accent1" w:themeShade="BF"/>
        </w:rPr>
        <w:t>Background</w:t>
      </w:r>
    </w:p>
    <w:p w:rsidR="00246ACB" w:rsidRDefault="00BF587F" w:rsidP="00BF587F">
      <w:pPr>
        <w:spacing w:after="0" w:line="240" w:lineRule="auto"/>
      </w:pPr>
      <w:r>
        <w:t>T</w:t>
      </w:r>
      <w:r w:rsidR="002E6A6B" w:rsidRPr="002E6A6B">
        <w:t>he challenge of certain areas of climate change projects is to find new ways to meet a growing demand for capital-intensive services a</w:t>
      </w:r>
      <w:r w:rsidR="004D4AC6">
        <w:t>t a time when funding</w:t>
      </w:r>
      <w:r w:rsidR="002E6A6B" w:rsidRPr="002E6A6B">
        <w:t xml:space="preserve"> is limited. Even with record spending on climate change mitigation projects, the needs continue to outstrip available resources, giving rise to </w:t>
      </w:r>
      <w:r w:rsidR="004D4AC6">
        <w:t xml:space="preserve">a need to identify </w:t>
      </w:r>
      <w:r w:rsidR="002E6A6B" w:rsidRPr="002E6A6B">
        <w:t>new approaches</w:t>
      </w:r>
      <w:r w:rsidR="00D81D3B">
        <w:t>.</w:t>
      </w:r>
      <w:r w:rsidR="002E6A6B" w:rsidRPr="002E6A6B">
        <w:t xml:space="preserve"> </w:t>
      </w:r>
      <w:r w:rsidR="00936204">
        <w:t xml:space="preserve"> </w:t>
      </w:r>
      <w:r w:rsidR="00D81D3B">
        <w:t xml:space="preserve">While </w:t>
      </w:r>
      <w:r w:rsidR="00F00C44">
        <w:t>PPP</w:t>
      </w:r>
      <w:r w:rsidR="00B3463D">
        <w:t>s</w:t>
      </w:r>
      <w:r w:rsidR="00F00C44">
        <w:t xml:space="preserve"> </w:t>
      </w:r>
      <w:r w:rsidR="002E6A6B" w:rsidRPr="002E6A6B">
        <w:t>have been introduced to some areas of climate change such as waste management</w:t>
      </w:r>
      <w:r w:rsidR="00EF437B">
        <w:t xml:space="preserve">, transport, </w:t>
      </w:r>
      <w:r w:rsidR="002E6A6B" w:rsidRPr="002E6A6B">
        <w:t>and water purification and treatment as a unique means of developing large scale, heavily capitalized projects</w:t>
      </w:r>
      <w:r w:rsidR="00936204" w:rsidRPr="00936204">
        <w:t xml:space="preserve">, there is much </w:t>
      </w:r>
      <w:r w:rsidR="00936204">
        <w:t>need</w:t>
      </w:r>
      <w:r w:rsidR="00B0157E">
        <w:t>s</w:t>
      </w:r>
      <w:r w:rsidR="00305F67">
        <w:t xml:space="preserve"> </w:t>
      </w:r>
      <w:r w:rsidR="00936204">
        <w:t>yet to be addressed in</w:t>
      </w:r>
      <w:r w:rsidR="004D4AC6">
        <w:t xml:space="preserve"> the</w:t>
      </w:r>
      <w:r w:rsidR="00936204" w:rsidRPr="00936204">
        <w:t xml:space="preserve"> areas of renewable energy, forestry, sustainable transport and adaptation</w:t>
      </w:r>
      <w:r w:rsidR="00F13F6C">
        <w:t>, where additional risks associated with technology and market could be mitigated through adequate PPP structures.</w:t>
      </w:r>
    </w:p>
    <w:p w:rsidR="00BF587F" w:rsidRPr="00E27E07" w:rsidRDefault="00BF587F" w:rsidP="00BF587F">
      <w:pPr>
        <w:spacing w:after="0" w:line="240" w:lineRule="auto"/>
        <w:rPr>
          <w:b/>
          <w:color w:val="4F81BD" w:themeColor="accent1"/>
        </w:rPr>
      </w:pPr>
    </w:p>
    <w:p w:rsidR="00D81D3B" w:rsidRDefault="006777D5" w:rsidP="00DB2FF7">
      <w:pPr>
        <w:spacing w:after="0" w:line="240" w:lineRule="auto"/>
      </w:pPr>
      <w:r>
        <w:t xml:space="preserve">To </w:t>
      </w:r>
      <w:r w:rsidR="0054694D">
        <w:t xml:space="preserve">tap into </w:t>
      </w:r>
      <w:r>
        <w:t xml:space="preserve">the market potential of climate change PPPs, </w:t>
      </w:r>
      <w:r w:rsidRPr="006777D5">
        <w:t>effective partnerships</w:t>
      </w:r>
      <w:r>
        <w:t>,</w:t>
      </w:r>
      <w:r w:rsidRPr="006777D5">
        <w:t xml:space="preserve"> right set of incentives </w:t>
      </w:r>
      <w:r>
        <w:t xml:space="preserve">and alignment of interest have to be </w:t>
      </w:r>
      <w:r w:rsidRPr="006777D5">
        <w:t>in place</w:t>
      </w:r>
      <w:r>
        <w:t xml:space="preserve">.  </w:t>
      </w:r>
      <w:r w:rsidR="00B0157E">
        <w:t>E</w:t>
      </w:r>
      <w:r w:rsidR="00D81D3B" w:rsidRPr="00D81D3B">
        <w:t>xamples of</w:t>
      </w:r>
      <w:r>
        <w:t xml:space="preserve"> infrastructure PPPs </w:t>
      </w:r>
      <w:r w:rsidR="00B0157E">
        <w:t xml:space="preserve">could </w:t>
      </w:r>
      <w:r>
        <w:t>be</w:t>
      </w:r>
      <w:r w:rsidR="00D81D3B" w:rsidRPr="00D81D3B">
        <w:t xml:space="preserve"> replicated in forestry, renewable energy, and other climate change products, in addressing the high cost of entry level associated with innovative technologies</w:t>
      </w:r>
      <w:r w:rsidR="00B364D6">
        <w:t xml:space="preserve"> and</w:t>
      </w:r>
      <w:r w:rsidR="00936204">
        <w:t xml:space="preserve"> market</w:t>
      </w:r>
      <w:r w:rsidR="00B364D6">
        <w:t xml:space="preserve"> risk</w:t>
      </w:r>
      <w:r w:rsidR="00936204">
        <w:t>.</w:t>
      </w:r>
    </w:p>
    <w:p w:rsidR="00BF587F" w:rsidRDefault="00BF587F" w:rsidP="00DB2FF7">
      <w:pPr>
        <w:spacing w:after="0" w:line="240" w:lineRule="auto"/>
      </w:pPr>
    </w:p>
    <w:p w:rsidR="0054694D" w:rsidRPr="0054694D" w:rsidRDefault="0054694D" w:rsidP="00DB2FF7">
      <w:pPr>
        <w:spacing w:after="0" w:line="240" w:lineRule="auto"/>
      </w:pPr>
      <w:r w:rsidRPr="0054694D">
        <w:t xml:space="preserve">Models used for PPPs in the infrastructure and health sectors included private entities made up of participants with vested interest in working together to provide core competencies in operations, technology, funding and technical expertise.  In climate change, this presents an opportunity for multi-sector market </w:t>
      </w:r>
      <w:r w:rsidR="004F38F0" w:rsidRPr="0054694D">
        <w:t>participants’</w:t>
      </w:r>
      <w:r w:rsidR="004F38F0">
        <w:t xml:space="preserve"> approaches</w:t>
      </w:r>
      <w:r w:rsidRPr="0054694D">
        <w:t xml:space="preserve">, which could include clean technology providers (solar, wind, bio-fuel, etc.), </w:t>
      </w:r>
      <w:r w:rsidR="00B0157E">
        <w:t xml:space="preserve">operators, financiers and </w:t>
      </w:r>
      <w:r w:rsidRPr="0054694D">
        <w:t>local communities</w:t>
      </w:r>
      <w:r w:rsidR="004D4AC6">
        <w:t>,</w:t>
      </w:r>
      <w:r w:rsidRPr="0054694D">
        <w:t xml:space="preserve"> to come together.  Funding sources could include banks, private equity firms</w:t>
      </w:r>
      <w:r w:rsidR="004D4AC6">
        <w:t xml:space="preserve"> and pension fund managers.  The</w:t>
      </w:r>
      <w:r w:rsidRPr="0054694D">
        <w:t>s</w:t>
      </w:r>
      <w:r w:rsidR="004D4AC6">
        <w:t>e</w:t>
      </w:r>
      <w:r w:rsidRPr="0054694D">
        <w:t xml:space="preserve"> type</w:t>
      </w:r>
      <w:r w:rsidR="007A4F18">
        <w:t>s</w:t>
      </w:r>
      <w:r w:rsidRPr="0054694D">
        <w:t xml:space="preserve"> of business models could stimulate partnerships between the private and public sectors ensuring sufficient funds deployment for urgent climate change needs, while leveraging synergies and sharing risks.</w:t>
      </w:r>
    </w:p>
    <w:p w:rsidR="002568ED" w:rsidRDefault="002568ED" w:rsidP="00DB2FF7">
      <w:pPr>
        <w:spacing w:after="0" w:line="240" w:lineRule="auto"/>
      </w:pPr>
    </w:p>
    <w:p w:rsidR="0087429F" w:rsidRDefault="0087429F" w:rsidP="00DB2FF7">
      <w:pPr>
        <w:spacing w:after="0" w:line="240" w:lineRule="auto"/>
      </w:pPr>
    </w:p>
    <w:p w:rsidR="003A1C6B" w:rsidRDefault="003A1C6B" w:rsidP="00DB2FF7">
      <w:pPr>
        <w:spacing w:after="0" w:line="240" w:lineRule="auto"/>
      </w:pPr>
    </w:p>
    <w:sectPr w:rsidR="003A1C6B" w:rsidSect="00645985">
      <w:pgSz w:w="12240" w:h="15840"/>
      <w:pgMar w:top="1440"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E91" w:rsidRDefault="00456E91" w:rsidP="00656663">
      <w:pPr>
        <w:spacing w:after="0" w:line="240" w:lineRule="auto"/>
      </w:pPr>
      <w:r>
        <w:separator/>
      </w:r>
    </w:p>
  </w:endnote>
  <w:endnote w:type="continuationSeparator" w:id="0">
    <w:p w:rsidR="00456E91" w:rsidRDefault="00456E91" w:rsidP="00656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E91" w:rsidRDefault="00456E91" w:rsidP="00656663">
      <w:pPr>
        <w:spacing w:after="0" w:line="240" w:lineRule="auto"/>
      </w:pPr>
      <w:r>
        <w:separator/>
      </w:r>
    </w:p>
  </w:footnote>
  <w:footnote w:type="continuationSeparator" w:id="0">
    <w:p w:rsidR="00456E91" w:rsidRDefault="00456E91" w:rsidP="006566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CC8"/>
    <w:multiLevelType w:val="hybridMultilevel"/>
    <w:tmpl w:val="05804C9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BF092E"/>
    <w:multiLevelType w:val="hybridMultilevel"/>
    <w:tmpl w:val="A7029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3120C4"/>
    <w:multiLevelType w:val="hybridMultilevel"/>
    <w:tmpl w:val="831890B8"/>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B36A09"/>
    <w:multiLevelType w:val="hybridMultilevel"/>
    <w:tmpl w:val="3BEA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A4F21"/>
    <w:multiLevelType w:val="hybridMultilevel"/>
    <w:tmpl w:val="AA284650"/>
    <w:lvl w:ilvl="0" w:tplc="31E0AF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171AC"/>
    <w:multiLevelType w:val="multilevel"/>
    <w:tmpl w:val="4DF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B0140E"/>
    <w:multiLevelType w:val="hybridMultilevel"/>
    <w:tmpl w:val="CB005B72"/>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381F2D"/>
    <w:multiLevelType w:val="hybridMultilevel"/>
    <w:tmpl w:val="8F509976"/>
    <w:lvl w:ilvl="0" w:tplc="03A2C64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6306BD"/>
    <w:multiLevelType w:val="hybridMultilevel"/>
    <w:tmpl w:val="2B70BA24"/>
    <w:lvl w:ilvl="0" w:tplc="C83EAA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4200A5"/>
    <w:multiLevelType w:val="hybridMultilevel"/>
    <w:tmpl w:val="F604BE14"/>
    <w:lvl w:ilvl="0" w:tplc="AC8AB0C2">
      <w:start w:val="1"/>
      <w:numFmt w:val="bullet"/>
      <w:lvlText w:val="–"/>
      <w:lvlJc w:val="left"/>
      <w:pPr>
        <w:tabs>
          <w:tab w:val="num" w:pos="720"/>
        </w:tabs>
        <w:ind w:left="720" w:hanging="360"/>
      </w:pPr>
      <w:rPr>
        <w:rFonts w:ascii="Arial" w:hAnsi="Arial" w:hint="default"/>
      </w:rPr>
    </w:lvl>
    <w:lvl w:ilvl="1" w:tplc="87D8CF34">
      <w:start w:val="1"/>
      <w:numFmt w:val="bullet"/>
      <w:lvlText w:val="–"/>
      <w:lvlJc w:val="left"/>
      <w:pPr>
        <w:tabs>
          <w:tab w:val="num" w:pos="1440"/>
        </w:tabs>
        <w:ind w:left="1440" w:hanging="360"/>
      </w:pPr>
      <w:rPr>
        <w:rFonts w:ascii="Arial" w:hAnsi="Arial" w:hint="default"/>
      </w:rPr>
    </w:lvl>
    <w:lvl w:ilvl="2" w:tplc="9B00E712" w:tentative="1">
      <w:start w:val="1"/>
      <w:numFmt w:val="bullet"/>
      <w:lvlText w:val="–"/>
      <w:lvlJc w:val="left"/>
      <w:pPr>
        <w:tabs>
          <w:tab w:val="num" w:pos="2160"/>
        </w:tabs>
        <w:ind w:left="2160" w:hanging="360"/>
      </w:pPr>
      <w:rPr>
        <w:rFonts w:ascii="Arial" w:hAnsi="Arial" w:hint="default"/>
      </w:rPr>
    </w:lvl>
    <w:lvl w:ilvl="3" w:tplc="530A2110" w:tentative="1">
      <w:start w:val="1"/>
      <w:numFmt w:val="bullet"/>
      <w:lvlText w:val="–"/>
      <w:lvlJc w:val="left"/>
      <w:pPr>
        <w:tabs>
          <w:tab w:val="num" w:pos="2880"/>
        </w:tabs>
        <w:ind w:left="2880" w:hanging="360"/>
      </w:pPr>
      <w:rPr>
        <w:rFonts w:ascii="Arial" w:hAnsi="Arial" w:hint="default"/>
      </w:rPr>
    </w:lvl>
    <w:lvl w:ilvl="4" w:tplc="C0D64DA2" w:tentative="1">
      <w:start w:val="1"/>
      <w:numFmt w:val="bullet"/>
      <w:lvlText w:val="–"/>
      <w:lvlJc w:val="left"/>
      <w:pPr>
        <w:tabs>
          <w:tab w:val="num" w:pos="3600"/>
        </w:tabs>
        <w:ind w:left="3600" w:hanging="360"/>
      </w:pPr>
      <w:rPr>
        <w:rFonts w:ascii="Arial" w:hAnsi="Arial" w:hint="default"/>
      </w:rPr>
    </w:lvl>
    <w:lvl w:ilvl="5" w:tplc="A296C764" w:tentative="1">
      <w:start w:val="1"/>
      <w:numFmt w:val="bullet"/>
      <w:lvlText w:val="–"/>
      <w:lvlJc w:val="left"/>
      <w:pPr>
        <w:tabs>
          <w:tab w:val="num" w:pos="4320"/>
        </w:tabs>
        <w:ind w:left="4320" w:hanging="360"/>
      </w:pPr>
      <w:rPr>
        <w:rFonts w:ascii="Arial" w:hAnsi="Arial" w:hint="default"/>
      </w:rPr>
    </w:lvl>
    <w:lvl w:ilvl="6" w:tplc="045ECA5C" w:tentative="1">
      <w:start w:val="1"/>
      <w:numFmt w:val="bullet"/>
      <w:lvlText w:val="–"/>
      <w:lvlJc w:val="left"/>
      <w:pPr>
        <w:tabs>
          <w:tab w:val="num" w:pos="5040"/>
        </w:tabs>
        <w:ind w:left="5040" w:hanging="360"/>
      </w:pPr>
      <w:rPr>
        <w:rFonts w:ascii="Arial" w:hAnsi="Arial" w:hint="default"/>
      </w:rPr>
    </w:lvl>
    <w:lvl w:ilvl="7" w:tplc="A436157A" w:tentative="1">
      <w:start w:val="1"/>
      <w:numFmt w:val="bullet"/>
      <w:lvlText w:val="–"/>
      <w:lvlJc w:val="left"/>
      <w:pPr>
        <w:tabs>
          <w:tab w:val="num" w:pos="5760"/>
        </w:tabs>
        <w:ind w:left="5760" w:hanging="360"/>
      </w:pPr>
      <w:rPr>
        <w:rFonts w:ascii="Arial" w:hAnsi="Arial" w:hint="default"/>
      </w:rPr>
    </w:lvl>
    <w:lvl w:ilvl="8" w:tplc="714C1430" w:tentative="1">
      <w:start w:val="1"/>
      <w:numFmt w:val="bullet"/>
      <w:lvlText w:val="–"/>
      <w:lvlJc w:val="left"/>
      <w:pPr>
        <w:tabs>
          <w:tab w:val="num" w:pos="6480"/>
        </w:tabs>
        <w:ind w:left="6480" w:hanging="360"/>
      </w:pPr>
      <w:rPr>
        <w:rFonts w:ascii="Arial" w:hAnsi="Arial" w:hint="default"/>
      </w:rPr>
    </w:lvl>
  </w:abstractNum>
  <w:abstractNum w:abstractNumId="10">
    <w:nsid w:val="70460F17"/>
    <w:multiLevelType w:val="hybridMultilevel"/>
    <w:tmpl w:val="1BBA2AF8"/>
    <w:lvl w:ilvl="0" w:tplc="C6D4551E">
      <w:start w:val="1"/>
      <w:numFmt w:val="bullet"/>
      <w:lvlText w:val="–"/>
      <w:lvlJc w:val="left"/>
      <w:pPr>
        <w:tabs>
          <w:tab w:val="num" w:pos="720"/>
        </w:tabs>
        <w:ind w:left="720" w:hanging="360"/>
      </w:pPr>
      <w:rPr>
        <w:rFonts w:ascii="Arial" w:hAnsi="Arial" w:hint="default"/>
      </w:rPr>
    </w:lvl>
    <w:lvl w:ilvl="1" w:tplc="F538F678">
      <w:start w:val="1"/>
      <w:numFmt w:val="bullet"/>
      <w:lvlText w:val="–"/>
      <w:lvlJc w:val="left"/>
      <w:pPr>
        <w:tabs>
          <w:tab w:val="num" w:pos="1440"/>
        </w:tabs>
        <w:ind w:left="1440" w:hanging="360"/>
      </w:pPr>
      <w:rPr>
        <w:rFonts w:ascii="Arial" w:hAnsi="Arial" w:hint="default"/>
      </w:rPr>
    </w:lvl>
    <w:lvl w:ilvl="2" w:tplc="E6B440A6" w:tentative="1">
      <w:start w:val="1"/>
      <w:numFmt w:val="bullet"/>
      <w:lvlText w:val="–"/>
      <w:lvlJc w:val="left"/>
      <w:pPr>
        <w:tabs>
          <w:tab w:val="num" w:pos="2160"/>
        </w:tabs>
        <w:ind w:left="2160" w:hanging="360"/>
      </w:pPr>
      <w:rPr>
        <w:rFonts w:ascii="Arial" w:hAnsi="Arial" w:hint="default"/>
      </w:rPr>
    </w:lvl>
    <w:lvl w:ilvl="3" w:tplc="9028E8B6" w:tentative="1">
      <w:start w:val="1"/>
      <w:numFmt w:val="bullet"/>
      <w:lvlText w:val="–"/>
      <w:lvlJc w:val="left"/>
      <w:pPr>
        <w:tabs>
          <w:tab w:val="num" w:pos="2880"/>
        </w:tabs>
        <w:ind w:left="2880" w:hanging="360"/>
      </w:pPr>
      <w:rPr>
        <w:rFonts w:ascii="Arial" w:hAnsi="Arial" w:hint="default"/>
      </w:rPr>
    </w:lvl>
    <w:lvl w:ilvl="4" w:tplc="2844142E" w:tentative="1">
      <w:start w:val="1"/>
      <w:numFmt w:val="bullet"/>
      <w:lvlText w:val="–"/>
      <w:lvlJc w:val="left"/>
      <w:pPr>
        <w:tabs>
          <w:tab w:val="num" w:pos="3600"/>
        </w:tabs>
        <w:ind w:left="3600" w:hanging="360"/>
      </w:pPr>
      <w:rPr>
        <w:rFonts w:ascii="Arial" w:hAnsi="Arial" w:hint="default"/>
      </w:rPr>
    </w:lvl>
    <w:lvl w:ilvl="5" w:tplc="A5DEE6B4" w:tentative="1">
      <w:start w:val="1"/>
      <w:numFmt w:val="bullet"/>
      <w:lvlText w:val="–"/>
      <w:lvlJc w:val="left"/>
      <w:pPr>
        <w:tabs>
          <w:tab w:val="num" w:pos="4320"/>
        </w:tabs>
        <w:ind w:left="4320" w:hanging="360"/>
      </w:pPr>
      <w:rPr>
        <w:rFonts w:ascii="Arial" w:hAnsi="Arial" w:hint="default"/>
      </w:rPr>
    </w:lvl>
    <w:lvl w:ilvl="6" w:tplc="20CEC18C" w:tentative="1">
      <w:start w:val="1"/>
      <w:numFmt w:val="bullet"/>
      <w:lvlText w:val="–"/>
      <w:lvlJc w:val="left"/>
      <w:pPr>
        <w:tabs>
          <w:tab w:val="num" w:pos="5040"/>
        </w:tabs>
        <w:ind w:left="5040" w:hanging="360"/>
      </w:pPr>
      <w:rPr>
        <w:rFonts w:ascii="Arial" w:hAnsi="Arial" w:hint="default"/>
      </w:rPr>
    </w:lvl>
    <w:lvl w:ilvl="7" w:tplc="C8E0C332" w:tentative="1">
      <w:start w:val="1"/>
      <w:numFmt w:val="bullet"/>
      <w:lvlText w:val="–"/>
      <w:lvlJc w:val="left"/>
      <w:pPr>
        <w:tabs>
          <w:tab w:val="num" w:pos="5760"/>
        </w:tabs>
        <w:ind w:left="5760" w:hanging="360"/>
      </w:pPr>
      <w:rPr>
        <w:rFonts w:ascii="Arial" w:hAnsi="Arial" w:hint="default"/>
      </w:rPr>
    </w:lvl>
    <w:lvl w:ilvl="8" w:tplc="ECB45748" w:tentative="1">
      <w:start w:val="1"/>
      <w:numFmt w:val="bullet"/>
      <w:lvlText w:val="–"/>
      <w:lvlJc w:val="left"/>
      <w:pPr>
        <w:tabs>
          <w:tab w:val="num" w:pos="6480"/>
        </w:tabs>
        <w:ind w:left="6480" w:hanging="360"/>
      </w:pPr>
      <w:rPr>
        <w:rFonts w:ascii="Arial" w:hAnsi="Arial" w:hint="default"/>
      </w:rPr>
    </w:lvl>
  </w:abstractNum>
  <w:abstractNum w:abstractNumId="11">
    <w:nsid w:val="770723AA"/>
    <w:multiLevelType w:val="hybridMultilevel"/>
    <w:tmpl w:val="7CD688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0"/>
  </w:num>
  <w:num w:numId="5">
    <w:abstractNumId w:val="4"/>
  </w:num>
  <w:num w:numId="6">
    <w:abstractNumId w:val="7"/>
  </w:num>
  <w:num w:numId="7">
    <w:abstractNumId w:val="3"/>
  </w:num>
  <w:num w:numId="8">
    <w:abstractNumId w:val="11"/>
  </w:num>
  <w:num w:numId="9">
    <w:abstractNumId w:val="6"/>
  </w:num>
  <w:num w:numId="10">
    <w:abstractNumId w:val="5"/>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04E1"/>
    <w:rsid w:val="00002478"/>
    <w:rsid w:val="000109D3"/>
    <w:rsid w:val="000472D3"/>
    <w:rsid w:val="00052DCF"/>
    <w:rsid w:val="000603C5"/>
    <w:rsid w:val="000723AE"/>
    <w:rsid w:val="00077C37"/>
    <w:rsid w:val="00086445"/>
    <w:rsid w:val="00086DD3"/>
    <w:rsid w:val="000A5504"/>
    <w:rsid w:val="000C425A"/>
    <w:rsid w:val="000E2765"/>
    <w:rsid w:val="000E7872"/>
    <w:rsid w:val="000E7F5B"/>
    <w:rsid w:val="000F00FA"/>
    <w:rsid w:val="000F04E1"/>
    <w:rsid w:val="000F670D"/>
    <w:rsid w:val="000F7B39"/>
    <w:rsid w:val="001071CB"/>
    <w:rsid w:val="001078A5"/>
    <w:rsid w:val="00111FD0"/>
    <w:rsid w:val="00132640"/>
    <w:rsid w:val="00132737"/>
    <w:rsid w:val="001435DE"/>
    <w:rsid w:val="001474B4"/>
    <w:rsid w:val="00182612"/>
    <w:rsid w:val="00193D54"/>
    <w:rsid w:val="00197274"/>
    <w:rsid w:val="00207ACA"/>
    <w:rsid w:val="00217246"/>
    <w:rsid w:val="0022083C"/>
    <w:rsid w:val="00221BB6"/>
    <w:rsid w:val="00231B43"/>
    <w:rsid w:val="00246ACB"/>
    <w:rsid w:val="002568ED"/>
    <w:rsid w:val="00282298"/>
    <w:rsid w:val="00287139"/>
    <w:rsid w:val="002B668D"/>
    <w:rsid w:val="002E6A6B"/>
    <w:rsid w:val="00304ACE"/>
    <w:rsid w:val="00305F67"/>
    <w:rsid w:val="00307802"/>
    <w:rsid w:val="00333A6E"/>
    <w:rsid w:val="00337756"/>
    <w:rsid w:val="0034576F"/>
    <w:rsid w:val="003A1C6B"/>
    <w:rsid w:val="003A663A"/>
    <w:rsid w:val="003A7083"/>
    <w:rsid w:val="003D4402"/>
    <w:rsid w:val="003D5C91"/>
    <w:rsid w:val="004275D2"/>
    <w:rsid w:val="00431AB0"/>
    <w:rsid w:val="0043270D"/>
    <w:rsid w:val="00432C29"/>
    <w:rsid w:val="0043357C"/>
    <w:rsid w:val="004349C4"/>
    <w:rsid w:val="004354A7"/>
    <w:rsid w:val="00436FC4"/>
    <w:rsid w:val="00437126"/>
    <w:rsid w:val="00444290"/>
    <w:rsid w:val="00446E34"/>
    <w:rsid w:val="00456E91"/>
    <w:rsid w:val="00461625"/>
    <w:rsid w:val="0047155D"/>
    <w:rsid w:val="004A134D"/>
    <w:rsid w:val="004D4AC6"/>
    <w:rsid w:val="004F38F0"/>
    <w:rsid w:val="004F731A"/>
    <w:rsid w:val="005050C8"/>
    <w:rsid w:val="0054694D"/>
    <w:rsid w:val="005704FE"/>
    <w:rsid w:val="00571487"/>
    <w:rsid w:val="0057381B"/>
    <w:rsid w:val="005A08E2"/>
    <w:rsid w:val="005A6F85"/>
    <w:rsid w:val="005B0EB5"/>
    <w:rsid w:val="005B7E9D"/>
    <w:rsid w:val="005E1C88"/>
    <w:rsid w:val="005E31CF"/>
    <w:rsid w:val="005F427E"/>
    <w:rsid w:val="0060740A"/>
    <w:rsid w:val="00645985"/>
    <w:rsid w:val="006533B7"/>
    <w:rsid w:val="006563AA"/>
    <w:rsid w:val="00656508"/>
    <w:rsid w:val="00656663"/>
    <w:rsid w:val="00663098"/>
    <w:rsid w:val="006777D5"/>
    <w:rsid w:val="006804DD"/>
    <w:rsid w:val="00696FA9"/>
    <w:rsid w:val="006A54BA"/>
    <w:rsid w:val="006B182E"/>
    <w:rsid w:val="006C07A9"/>
    <w:rsid w:val="006F2E2D"/>
    <w:rsid w:val="006F7768"/>
    <w:rsid w:val="007111BD"/>
    <w:rsid w:val="00712414"/>
    <w:rsid w:val="007502CE"/>
    <w:rsid w:val="007555B4"/>
    <w:rsid w:val="00760268"/>
    <w:rsid w:val="00765B6A"/>
    <w:rsid w:val="0077141E"/>
    <w:rsid w:val="00775CC2"/>
    <w:rsid w:val="00786F8A"/>
    <w:rsid w:val="0079370D"/>
    <w:rsid w:val="007A4F18"/>
    <w:rsid w:val="007A70F6"/>
    <w:rsid w:val="007A710C"/>
    <w:rsid w:val="007C6109"/>
    <w:rsid w:val="007D56B1"/>
    <w:rsid w:val="007D64ED"/>
    <w:rsid w:val="007E5E1A"/>
    <w:rsid w:val="00813AD5"/>
    <w:rsid w:val="00831838"/>
    <w:rsid w:val="00871220"/>
    <w:rsid w:val="008714AB"/>
    <w:rsid w:val="008737FA"/>
    <w:rsid w:val="00874139"/>
    <w:rsid w:val="0087429F"/>
    <w:rsid w:val="008810FC"/>
    <w:rsid w:val="008913D2"/>
    <w:rsid w:val="008B07A2"/>
    <w:rsid w:val="008D3AC3"/>
    <w:rsid w:val="0090382A"/>
    <w:rsid w:val="0091108E"/>
    <w:rsid w:val="00936204"/>
    <w:rsid w:val="009523CE"/>
    <w:rsid w:val="009A701F"/>
    <w:rsid w:val="009B1D3A"/>
    <w:rsid w:val="009D1078"/>
    <w:rsid w:val="00A21B57"/>
    <w:rsid w:val="00A21EA6"/>
    <w:rsid w:val="00A37D6D"/>
    <w:rsid w:val="00A41574"/>
    <w:rsid w:val="00A4167F"/>
    <w:rsid w:val="00A543D3"/>
    <w:rsid w:val="00A60545"/>
    <w:rsid w:val="00A60A57"/>
    <w:rsid w:val="00A6727F"/>
    <w:rsid w:val="00A858D8"/>
    <w:rsid w:val="00A9413B"/>
    <w:rsid w:val="00AC3327"/>
    <w:rsid w:val="00AC6DC5"/>
    <w:rsid w:val="00B0157E"/>
    <w:rsid w:val="00B20972"/>
    <w:rsid w:val="00B261B6"/>
    <w:rsid w:val="00B3463D"/>
    <w:rsid w:val="00B364D6"/>
    <w:rsid w:val="00B50CCD"/>
    <w:rsid w:val="00B51280"/>
    <w:rsid w:val="00B5534F"/>
    <w:rsid w:val="00B6684D"/>
    <w:rsid w:val="00B937D1"/>
    <w:rsid w:val="00B947A3"/>
    <w:rsid w:val="00BB28E7"/>
    <w:rsid w:val="00BC29D8"/>
    <w:rsid w:val="00BC37E4"/>
    <w:rsid w:val="00BE732C"/>
    <w:rsid w:val="00BF5192"/>
    <w:rsid w:val="00BF587F"/>
    <w:rsid w:val="00BF5AC5"/>
    <w:rsid w:val="00C31603"/>
    <w:rsid w:val="00C33AF6"/>
    <w:rsid w:val="00C3607E"/>
    <w:rsid w:val="00C652F2"/>
    <w:rsid w:val="00C753D6"/>
    <w:rsid w:val="00C81572"/>
    <w:rsid w:val="00CA728D"/>
    <w:rsid w:val="00CB67E6"/>
    <w:rsid w:val="00CD5CCF"/>
    <w:rsid w:val="00D140FA"/>
    <w:rsid w:val="00D25C16"/>
    <w:rsid w:val="00D25CC1"/>
    <w:rsid w:val="00D35087"/>
    <w:rsid w:val="00D40FC1"/>
    <w:rsid w:val="00D81D3B"/>
    <w:rsid w:val="00D854CA"/>
    <w:rsid w:val="00D95B18"/>
    <w:rsid w:val="00DB15EF"/>
    <w:rsid w:val="00DB2FF7"/>
    <w:rsid w:val="00DB6D48"/>
    <w:rsid w:val="00DE6887"/>
    <w:rsid w:val="00E04426"/>
    <w:rsid w:val="00E1055F"/>
    <w:rsid w:val="00E13DA0"/>
    <w:rsid w:val="00E27D8E"/>
    <w:rsid w:val="00E27E07"/>
    <w:rsid w:val="00E30289"/>
    <w:rsid w:val="00E314C7"/>
    <w:rsid w:val="00E3419D"/>
    <w:rsid w:val="00E6290F"/>
    <w:rsid w:val="00E638EB"/>
    <w:rsid w:val="00E66874"/>
    <w:rsid w:val="00E67F7F"/>
    <w:rsid w:val="00E75291"/>
    <w:rsid w:val="00EA071E"/>
    <w:rsid w:val="00EB2534"/>
    <w:rsid w:val="00EE3009"/>
    <w:rsid w:val="00EF437B"/>
    <w:rsid w:val="00EF55B2"/>
    <w:rsid w:val="00F00C44"/>
    <w:rsid w:val="00F02C31"/>
    <w:rsid w:val="00F13F6C"/>
    <w:rsid w:val="00F14D18"/>
    <w:rsid w:val="00F27892"/>
    <w:rsid w:val="00F34FAA"/>
    <w:rsid w:val="00F4045B"/>
    <w:rsid w:val="00F4453F"/>
    <w:rsid w:val="00F45C1F"/>
    <w:rsid w:val="00F670E5"/>
    <w:rsid w:val="00F70BD9"/>
    <w:rsid w:val="00F71644"/>
    <w:rsid w:val="00F7249E"/>
    <w:rsid w:val="00F93AF0"/>
    <w:rsid w:val="00F9542A"/>
    <w:rsid w:val="00FA6286"/>
    <w:rsid w:val="00FB205A"/>
    <w:rsid w:val="00FD3041"/>
    <w:rsid w:val="00FD5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27E"/>
    <w:pPr>
      <w:ind w:left="720"/>
      <w:contextualSpacing/>
    </w:pPr>
  </w:style>
  <w:style w:type="paragraph" w:styleId="Header">
    <w:name w:val="header"/>
    <w:basedOn w:val="Normal"/>
    <w:link w:val="HeaderChar"/>
    <w:uiPriority w:val="99"/>
    <w:unhideWhenUsed/>
    <w:rsid w:val="00656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63"/>
  </w:style>
  <w:style w:type="paragraph" w:styleId="Footer">
    <w:name w:val="footer"/>
    <w:basedOn w:val="Normal"/>
    <w:link w:val="FooterChar"/>
    <w:uiPriority w:val="99"/>
    <w:semiHidden/>
    <w:unhideWhenUsed/>
    <w:rsid w:val="006566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6663"/>
  </w:style>
  <w:style w:type="paragraph" w:styleId="BalloonText">
    <w:name w:val="Balloon Text"/>
    <w:basedOn w:val="Normal"/>
    <w:link w:val="BalloonTextChar"/>
    <w:uiPriority w:val="99"/>
    <w:semiHidden/>
    <w:unhideWhenUsed/>
    <w:rsid w:val="00656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63"/>
    <w:rPr>
      <w:rFonts w:ascii="Tahoma" w:hAnsi="Tahoma" w:cs="Tahoma"/>
      <w:sz w:val="16"/>
      <w:szCs w:val="16"/>
    </w:rPr>
  </w:style>
  <w:style w:type="paragraph" w:styleId="NormalWeb">
    <w:name w:val="Normal (Web)"/>
    <w:basedOn w:val="Normal"/>
    <w:uiPriority w:val="99"/>
    <w:unhideWhenUsed/>
    <w:rsid w:val="008742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860375">
      <w:bodyDiv w:val="1"/>
      <w:marLeft w:val="0"/>
      <w:marRight w:val="0"/>
      <w:marTop w:val="0"/>
      <w:marBottom w:val="0"/>
      <w:divBdr>
        <w:top w:val="none" w:sz="0" w:space="0" w:color="auto"/>
        <w:left w:val="none" w:sz="0" w:space="0" w:color="auto"/>
        <w:bottom w:val="none" w:sz="0" w:space="0" w:color="auto"/>
        <w:right w:val="none" w:sz="0" w:space="0" w:color="auto"/>
      </w:divBdr>
      <w:divsChild>
        <w:div w:id="9643621">
          <w:marLeft w:val="0"/>
          <w:marRight w:val="0"/>
          <w:marTop w:val="0"/>
          <w:marBottom w:val="0"/>
          <w:divBdr>
            <w:top w:val="none" w:sz="0" w:space="0" w:color="auto"/>
            <w:left w:val="none" w:sz="0" w:space="0" w:color="auto"/>
            <w:bottom w:val="none" w:sz="0" w:space="0" w:color="auto"/>
            <w:right w:val="none" w:sz="0" w:space="0" w:color="auto"/>
          </w:divBdr>
          <w:divsChild>
            <w:div w:id="5229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755">
      <w:bodyDiv w:val="1"/>
      <w:marLeft w:val="0"/>
      <w:marRight w:val="0"/>
      <w:marTop w:val="0"/>
      <w:marBottom w:val="0"/>
      <w:divBdr>
        <w:top w:val="none" w:sz="0" w:space="0" w:color="auto"/>
        <w:left w:val="none" w:sz="0" w:space="0" w:color="auto"/>
        <w:bottom w:val="none" w:sz="0" w:space="0" w:color="auto"/>
        <w:right w:val="none" w:sz="0" w:space="0" w:color="auto"/>
      </w:divBdr>
      <w:divsChild>
        <w:div w:id="1913418904">
          <w:marLeft w:val="1166"/>
          <w:marRight w:val="0"/>
          <w:marTop w:val="62"/>
          <w:marBottom w:val="0"/>
          <w:divBdr>
            <w:top w:val="none" w:sz="0" w:space="0" w:color="auto"/>
            <w:left w:val="none" w:sz="0" w:space="0" w:color="auto"/>
            <w:bottom w:val="none" w:sz="0" w:space="0" w:color="auto"/>
            <w:right w:val="none" w:sz="0" w:space="0" w:color="auto"/>
          </w:divBdr>
        </w:div>
      </w:divsChild>
    </w:div>
    <w:div w:id="1545172786">
      <w:bodyDiv w:val="1"/>
      <w:marLeft w:val="0"/>
      <w:marRight w:val="0"/>
      <w:marTop w:val="0"/>
      <w:marBottom w:val="0"/>
      <w:divBdr>
        <w:top w:val="none" w:sz="0" w:space="0" w:color="auto"/>
        <w:left w:val="none" w:sz="0" w:space="0" w:color="auto"/>
        <w:bottom w:val="none" w:sz="0" w:space="0" w:color="auto"/>
        <w:right w:val="none" w:sz="0" w:space="0" w:color="auto"/>
      </w:divBdr>
      <w:divsChild>
        <w:div w:id="1580016965">
          <w:marLeft w:val="1166"/>
          <w:marRight w:val="0"/>
          <w:marTop w:val="62"/>
          <w:marBottom w:val="0"/>
          <w:divBdr>
            <w:top w:val="none" w:sz="0" w:space="0" w:color="auto"/>
            <w:left w:val="none" w:sz="0" w:space="0" w:color="auto"/>
            <w:bottom w:val="none" w:sz="0" w:space="0" w:color="auto"/>
            <w:right w:val="none" w:sz="0" w:space="0" w:color="auto"/>
          </w:divBdr>
        </w:div>
      </w:divsChild>
    </w:div>
    <w:div w:id="1600410588">
      <w:bodyDiv w:val="1"/>
      <w:marLeft w:val="0"/>
      <w:marRight w:val="0"/>
      <w:marTop w:val="0"/>
      <w:marBottom w:val="0"/>
      <w:divBdr>
        <w:top w:val="none" w:sz="0" w:space="0" w:color="auto"/>
        <w:left w:val="none" w:sz="0" w:space="0" w:color="auto"/>
        <w:bottom w:val="none" w:sz="0" w:space="0" w:color="auto"/>
        <w:right w:val="none" w:sz="0" w:space="0" w:color="auto"/>
      </w:divBdr>
      <w:divsChild>
        <w:div w:id="1153789989">
          <w:marLeft w:val="0"/>
          <w:marRight w:val="0"/>
          <w:marTop w:val="0"/>
          <w:marBottom w:val="0"/>
          <w:divBdr>
            <w:top w:val="none" w:sz="0" w:space="0" w:color="auto"/>
            <w:left w:val="none" w:sz="0" w:space="0" w:color="auto"/>
            <w:bottom w:val="none" w:sz="0" w:space="0" w:color="auto"/>
            <w:right w:val="none" w:sz="0" w:space="0" w:color="auto"/>
          </w:divBdr>
          <w:divsChild>
            <w:div w:id="11352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CB33-59B1-4133-9BAB-B907E295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wb192333</dc:creator>
  <cp:lastModifiedBy>User</cp:lastModifiedBy>
  <cp:revision>2</cp:revision>
  <cp:lastPrinted>2011-05-09T15:54:00Z</cp:lastPrinted>
  <dcterms:created xsi:type="dcterms:W3CDTF">2011-06-20T08:09:00Z</dcterms:created>
  <dcterms:modified xsi:type="dcterms:W3CDTF">2011-06-20T08:09:00Z</dcterms:modified>
</cp:coreProperties>
</file>